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CCA0" w14:textId="7C3397BF" w:rsidR="00012DAB" w:rsidRPr="00286612" w:rsidRDefault="00012DAB" w:rsidP="004D282A">
      <w:pPr>
        <w:spacing w:line="480" w:lineRule="auto"/>
        <w:jc w:val="center"/>
        <w:rPr>
          <w:b/>
          <w:bCs/>
        </w:rPr>
      </w:pPr>
      <w:r w:rsidRPr="00286612">
        <w:rPr>
          <w:b/>
          <w:bCs/>
        </w:rPr>
        <w:t xml:space="preserve">The Effects </w:t>
      </w:r>
      <w:r w:rsidR="00004290" w:rsidRPr="00286612">
        <w:rPr>
          <w:b/>
          <w:bCs/>
        </w:rPr>
        <w:t xml:space="preserve">of the </w:t>
      </w:r>
      <w:r w:rsidR="00286612" w:rsidRPr="00286612">
        <w:rPr>
          <w:b/>
          <w:bCs/>
        </w:rPr>
        <w:t>Public Service Alliance of Canada</w:t>
      </w:r>
      <w:r w:rsidR="00286612" w:rsidRPr="00286612">
        <w:rPr>
          <w:b/>
          <w:bCs/>
        </w:rPr>
        <w:t xml:space="preserve"> </w:t>
      </w:r>
      <w:r w:rsidR="00D04390" w:rsidRPr="00286612">
        <w:rPr>
          <w:b/>
          <w:bCs/>
        </w:rPr>
        <w:t>S</w:t>
      </w:r>
      <w:r w:rsidR="00004290" w:rsidRPr="00286612">
        <w:rPr>
          <w:b/>
          <w:bCs/>
        </w:rPr>
        <w:t xml:space="preserve">trike </w:t>
      </w:r>
      <w:r w:rsidR="00D04390" w:rsidRPr="00286612">
        <w:rPr>
          <w:b/>
          <w:bCs/>
        </w:rPr>
        <w:t>on Worker Rights</w:t>
      </w:r>
      <w:r w:rsidRPr="00286612">
        <w:rPr>
          <w:b/>
          <w:bCs/>
        </w:rPr>
        <w:t xml:space="preserve"> </w:t>
      </w:r>
    </w:p>
    <w:p w14:paraId="71860D69" w14:textId="367F1BC3" w:rsidR="00783965" w:rsidRDefault="00783965" w:rsidP="006B50F5">
      <w:pPr>
        <w:spacing w:line="480" w:lineRule="auto"/>
        <w:ind w:firstLine="720"/>
      </w:pPr>
      <w:r>
        <w:t>In 2023, labour disruptions swept Canada as inflation outpaced wage increases; this drove workers to take decisive action. One of the most significant examples was the Public Service Alliance of Canada (PSAC) strike, which saw over 155,000 federal employees leave [2]. The strike, rooted in demands for fair wages and improved working conditions, highlighted the growing tension between workers and employers struggling to balance inflationary pressures with fair compensation. As public services ground to a halt and employees faced financial hardships, the strike's outcome became a crucial test for the government and the union. Ultimately, the PSAC strike, despite the short-term losses, resulted in notable gains for workers, setting a new standard for public sector negotiations in Canada. The balance of these losses and gains shows that the strike succeeded, particularly in securing better wages and job security for the workers involved, with long-term benefits for their future. The determination and unity of the workers in this collective action was a testament to the power of their cause.</w:t>
      </w:r>
    </w:p>
    <w:p w14:paraId="3EBD580D" w14:textId="6C88BA51" w:rsidR="00783965" w:rsidRDefault="00783965" w:rsidP="006B50F5">
      <w:pPr>
        <w:spacing w:line="480" w:lineRule="auto"/>
        <w:ind w:firstLine="720"/>
      </w:pPr>
      <w:r>
        <w:t>The PSAC strike, lasting 12 days, placed significant financial strain on the federal workers who participated. However, the employees demonstrated remarkable resilience, refusing to be deterred by reduced paychecks and the context of rising inflation</w:t>
      </w:r>
      <w:r w:rsidR="00793FDC">
        <w:t>; this</w:t>
      </w:r>
      <w:r>
        <w:t xml:space="preserve"> further compounded the financial pressures many workers were already facing​ [1]. This resilience</w:t>
      </w:r>
      <w:r w:rsidR="00866C90">
        <w:t xml:space="preserve"> in the face of adversity</w:t>
      </w:r>
      <w:r>
        <w:t xml:space="preserve"> was </w:t>
      </w:r>
      <w:r w:rsidR="00793FDC">
        <w:t>crucial to</w:t>
      </w:r>
      <w:r>
        <w:t xml:space="preserve"> the </w:t>
      </w:r>
      <w:r w:rsidR="00866C90">
        <w:t>strike's success</w:t>
      </w:r>
      <w:r w:rsidR="00751CC1">
        <w:t>. The</w:t>
      </w:r>
      <w:r>
        <w:t xml:space="preserve"> strike also led to widespread disruptions in essential public services across Canada</w:t>
      </w:r>
      <w:r w:rsidR="00751CC1">
        <w:t>, such as passport offices, tax services provided by the Canada Revenue Agency (CRA), and immigration application processing, which</w:t>
      </w:r>
      <w:r>
        <w:t xml:space="preserve"> were either slowed down or halted entirely. For example, during the following tax season, CRA services were limited, and paper returns were backlogged for future processing, leading to significant delays​ [1]. In some cases, Canadians could not access their tax accounts online and calls to tax phone lines went unanswered​ [1][2]. Furthermore, passport applications were processed only in emergency or humanitarian cases, leaving some Canadians stranded or delayed in </w:t>
      </w:r>
      <w:r>
        <w:lastRenderedPageBreak/>
        <w:t>their travel plans​ [2]. These interruptions inconvenienced the public and put added pressure on the striking workers, who had to contend with public criticism for delaying essential services​ [2].</w:t>
      </w:r>
    </w:p>
    <w:p w14:paraId="00E7BB93" w14:textId="22DC66AA" w:rsidR="00783965" w:rsidRDefault="00783965" w:rsidP="006B50F5">
      <w:pPr>
        <w:spacing w:line="480" w:lineRule="auto"/>
        <w:ind w:firstLine="720"/>
      </w:pPr>
      <w:r>
        <w:t xml:space="preserve">Despite the monumental hardships experienced during the PSAC strike, employees made substantial gains that justified their actions. One of the most significant victories was the wage increase of 12.6% over four years; this marked an improvement from the federal government's initial offer of 9% [1]. This wage hike was crucial in addressing the core issue of inflation outpacing wage growth, a critical concern that had forced workers to strike in the first place. In addition to the pay raise, employees also received a one-time, pensionable lump-sum payment of $2,500, amounting to an additional 3.7% of the average employee's annual salary​ [1][5]. This financial boost restored some of the income lost during the strike and demonstrated the union's ability to negotiate a deal that responded to worker's needs in an inflationary climate. Beyond financial compensation, the strike led to essential advancements in remote work flexibility. Many public servants had shifted to remote work during the pandemic, and the union pushed for provisions allowing workers to continue working remotely [2]. While the final agreement did not fully entrench remote work in the collective bargaining agreement, it introduced necessary protections. Managers must now review remote work requests individually and provide written explanations for rejections [1]. This prevents a blanket denial of remote work and empowers employees to negotiate their work environments with greater transparency and autonomy​ [1]. This was a significant achievement, particularly in a post-pandemic era where workers value work-from-home flexibility. Another notable gain from the strike was improved job security. The union successfully negotiated stronger protections against the outsourcing of work. When the employer might consider contracting out jobs, the agreement now ensures that workers will be prioritized, preventing layoffs where employees could perform the work in-house. Additionally, the agreement secured enhancements to seniority rights, giving more experienced employees added protection during workforce reductions [1][2][4]. These provisions reflect the union's focus on ensuring long-term employment security, mainly </w:t>
      </w:r>
      <w:r>
        <w:lastRenderedPageBreak/>
        <w:t xml:space="preserve">when job displacement due to contracting and automation is a growing concern. Overall, these wage gains, job security, and working conditions made the PSAC strike a pivotal moment for labour relations in Canada. </w:t>
      </w:r>
    </w:p>
    <w:p w14:paraId="5513A981" w14:textId="1E748982" w:rsidR="00783965" w:rsidRDefault="00783965" w:rsidP="006B50F5">
      <w:pPr>
        <w:spacing w:line="480" w:lineRule="auto"/>
        <w:ind w:firstLine="720"/>
      </w:pPr>
      <w:r>
        <w:t>The success of the PSAC strike can be evaluated by balancing the employee's short-term sacrifices with their long-term gains, both financially and in terms of working conditions. While the strike caused immediate financial losses, with workers forgoing pay for 12 days, the eventual 12.6% wage increase over four years substantially recovered from those losses and helped address the core issue of inflation eroding purchasing power​ [1]. The added $2,500 one-time payment also cushioned the financial blow caused by the missed wages during the strike​ [1]. Although the workers experienced significant disruptions and public criticism, the final negotiated deal brought long-term stability, securing wage growth and job security protections. The strike also set important precedents for future negotiations, particularly in remote work. Even though the union did not achieve a full guarantee for remote work across the board, the individual review process for telework requests was a significant improvement, giving employees more negotiating power in shaping their work environments​ [1][5]. This outcome highlights how labour actions can lead to more flexible working arrangements, an issue that is becoming increasingly important in the post-pandemic era. Moreover, the success of this strike extended beyond just financial and work flexibility gains; it had a broader impact on public sector labour relations in Canada. The size and scope of the strike, which involved over 155,000 federal employees, made it one of the most significant labour actions in Canadian history. The results of this strike set a standard for future labour disputes, encouraging other unions to demand similar wage increases and better working conditions. The PSAC strike demonstrated that large-scale collective action can yield significant results, especially when addressing the growing wage disparity and living costs​ [1][4]. Furthermore, it set a critical precedent for future labour negotiations, reinforcing the importance of collective bargaining in addressing economic challenges.</w:t>
      </w:r>
    </w:p>
    <w:p w14:paraId="79C9D52B" w14:textId="05AFDE13" w:rsidR="00A421A3" w:rsidRDefault="00783965" w:rsidP="006B50F5">
      <w:pPr>
        <w:spacing w:line="480" w:lineRule="auto"/>
        <w:ind w:firstLine="720"/>
      </w:pPr>
      <w:r>
        <w:lastRenderedPageBreak/>
        <w:t>The 2023 PSAC strike, while challenging for employees in the short term, proved to be a landmark event in Canadian labour relations. Despite the financial losses and disruptions to public services, the long-term gains secured in terms of wage increases, remote work flexibility, and job security protections outweighed these temporary setbacks. The 12.6% wage increase and other negotiated benefits, such as the lump-sum payment and more substantial seniority rights, significantly improved the workers' financial security​. Additionally, the precedent for negotiating telework arrangements has positioned employees to have more control over their working conditions in the future​. On a broader scale, the strike's success has influenced public sector negotiations across Canada, reinforcing the importance of collective action and demonstrating the power of unified labour movements to effect meaningful change​. It is conclusive that the PSAC strike was a success for its participants and a crucial moment in Canada's labour relations evolution.</w:t>
      </w:r>
    </w:p>
    <w:p w14:paraId="704A9E66" w14:textId="77777777" w:rsidR="00644857" w:rsidRDefault="00644857" w:rsidP="00A421A3"/>
    <w:p w14:paraId="4705700A" w14:textId="77777777" w:rsidR="00644857" w:rsidRDefault="00644857" w:rsidP="00A421A3"/>
    <w:p w14:paraId="659813B2" w14:textId="77777777" w:rsidR="004D282A" w:rsidRDefault="004D282A" w:rsidP="00A421A3"/>
    <w:p w14:paraId="5CCA1788" w14:textId="77777777" w:rsidR="00BD5A53" w:rsidRDefault="00BD5A53" w:rsidP="00A421A3"/>
    <w:p w14:paraId="1BA8BF87" w14:textId="77777777" w:rsidR="00BD5A53" w:rsidRDefault="00BD5A53" w:rsidP="00A421A3"/>
    <w:p w14:paraId="27A9E474" w14:textId="77777777" w:rsidR="00BD5A53" w:rsidRDefault="00BD5A53" w:rsidP="00A421A3"/>
    <w:p w14:paraId="1F126895" w14:textId="77777777" w:rsidR="00BD5A53" w:rsidRDefault="00BD5A53" w:rsidP="00A421A3"/>
    <w:p w14:paraId="417058F5" w14:textId="77777777" w:rsidR="00BD5A53" w:rsidRDefault="00BD5A53" w:rsidP="00A421A3"/>
    <w:p w14:paraId="54117D3D" w14:textId="77777777" w:rsidR="00BD5A53" w:rsidRDefault="00BD5A53" w:rsidP="00A421A3"/>
    <w:p w14:paraId="6776D1FE" w14:textId="77777777" w:rsidR="00BD5A53" w:rsidRDefault="00BD5A53" w:rsidP="00A421A3"/>
    <w:p w14:paraId="71FCA183" w14:textId="77777777" w:rsidR="00BD5A53" w:rsidRDefault="00BD5A53" w:rsidP="00A421A3"/>
    <w:p w14:paraId="6B578F34" w14:textId="77777777" w:rsidR="00BD5A53" w:rsidRDefault="00BD5A53" w:rsidP="00A421A3"/>
    <w:p w14:paraId="2212F2EC" w14:textId="77777777" w:rsidR="00BD5A53" w:rsidRDefault="00BD5A53" w:rsidP="00A421A3"/>
    <w:p w14:paraId="6D750BEE" w14:textId="77777777" w:rsidR="00BD5A53" w:rsidRDefault="00BD5A53" w:rsidP="00A421A3"/>
    <w:p w14:paraId="3F26C934" w14:textId="77777777" w:rsidR="00BD5A53" w:rsidRDefault="00BD5A53" w:rsidP="00A421A3"/>
    <w:p w14:paraId="2738B37A" w14:textId="583EBC47" w:rsidR="00D92728" w:rsidRPr="009209D6" w:rsidRDefault="00D92728" w:rsidP="004C7A1E">
      <w:pPr>
        <w:jc w:val="center"/>
      </w:pPr>
      <w:r w:rsidRPr="00D92728">
        <w:rPr>
          <w:u w:val="single"/>
        </w:rPr>
        <w:lastRenderedPageBreak/>
        <w:t>Citations</w:t>
      </w:r>
    </w:p>
    <w:p w14:paraId="58DF938D" w14:textId="77777777" w:rsidR="0056201C" w:rsidRDefault="0056201C"/>
    <w:p w14:paraId="737394EF" w14:textId="0542DF2B" w:rsidR="0056201C" w:rsidRDefault="0056201C">
      <w:r>
        <w:t xml:space="preserve">[1] </w:t>
      </w:r>
      <w:hyperlink r:id="rId6" w:history="1">
        <w:r w:rsidRPr="00EF00AC">
          <w:rPr>
            <w:rStyle w:val="Hyperlink"/>
          </w:rPr>
          <w:t>https://toronto.citynews.ca/2023/05/01/psac-says-tentative-agreement-reached-with-treasury-board-for-120000-workers/</w:t>
        </w:r>
      </w:hyperlink>
    </w:p>
    <w:p w14:paraId="3FCC8593" w14:textId="29606450" w:rsidR="00212231" w:rsidRDefault="00212231">
      <w:r>
        <w:t xml:space="preserve">[2] </w:t>
      </w:r>
      <w:hyperlink r:id="rId7" w:history="1">
        <w:r w:rsidR="00990E99" w:rsidRPr="00EF00AC">
          <w:rPr>
            <w:rStyle w:val="Hyperlink"/>
          </w:rPr>
          <w:t>https://en.wikipedia.org/wiki/2023_Canadian_federal_worker_strike</w:t>
        </w:r>
      </w:hyperlink>
    </w:p>
    <w:p w14:paraId="5766C0DA" w14:textId="03CCB4EE" w:rsidR="00990E99" w:rsidRDefault="00990E99">
      <w:r>
        <w:t xml:space="preserve">[3] </w:t>
      </w:r>
      <w:hyperlink r:id="rId8" w:history="1">
        <w:r w:rsidR="005C14D2" w:rsidRPr="00EF00AC">
          <w:rPr>
            <w:rStyle w:val="Hyperlink"/>
          </w:rPr>
          <w:t>https://www.canada.ca/en/public-services-procurement/news/2023/04/statement-public-service-labour-disruptions-and-pay.html</w:t>
        </w:r>
      </w:hyperlink>
    </w:p>
    <w:p w14:paraId="228C42C6" w14:textId="66AC9B36" w:rsidR="005C14D2" w:rsidRDefault="005C14D2">
      <w:r>
        <w:t xml:space="preserve">[4] </w:t>
      </w:r>
      <w:hyperlink r:id="rId9" w:history="1">
        <w:r w:rsidR="00EC7661" w:rsidRPr="00EF00AC">
          <w:rPr>
            <w:rStyle w:val="Hyperlink"/>
          </w:rPr>
          <w:t>https://toronto.citynews.ca/2023/04/20/federal-workers-strike-psac-taxes-passports/</w:t>
        </w:r>
      </w:hyperlink>
    </w:p>
    <w:p w14:paraId="403F5244" w14:textId="1177D5D6" w:rsidR="00A957D4" w:rsidRDefault="00A957D4">
      <w:r>
        <w:t xml:space="preserve">[5] </w:t>
      </w:r>
      <w:r w:rsidRPr="00A957D4">
        <w:t>https://www.canada.ca/en/public-services-procurement/corporate/public-service-pay.html</w:t>
      </w:r>
    </w:p>
    <w:p w14:paraId="418F661F" w14:textId="77777777" w:rsidR="00EC7661" w:rsidRDefault="00EC7661"/>
    <w:p w14:paraId="156D8A90" w14:textId="77777777" w:rsidR="0056201C" w:rsidRDefault="0056201C"/>
    <w:sectPr w:rsidR="0056201C">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269ED" w14:textId="77777777" w:rsidR="0088216E" w:rsidRDefault="0088216E" w:rsidP="0088216E">
      <w:pPr>
        <w:spacing w:after="0" w:line="240" w:lineRule="auto"/>
      </w:pPr>
      <w:r>
        <w:separator/>
      </w:r>
    </w:p>
  </w:endnote>
  <w:endnote w:type="continuationSeparator" w:id="0">
    <w:p w14:paraId="692ED821" w14:textId="77777777" w:rsidR="0088216E" w:rsidRDefault="0088216E" w:rsidP="0088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5CC9D" w14:textId="77777777" w:rsidR="0088216E" w:rsidRDefault="0088216E" w:rsidP="0088216E">
      <w:pPr>
        <w:spacing w:after="0" w:line="240" w:lineRule="auto"/>
      </w:pPr>
      <w:r>
        <w:separator/>
      </w:r>
    </w:p>
  </w:footnote>
  <w:footnote w:type="continuationSeparator" w:id="0">
    <w:p w14:paraId="4076A495" w14:textId="77777777" w:rsidR="0088216E" w:rsidRDefault="0088216E" w:rsidP="0088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C7FB" w14:textId="0C486ABB" w:rsidR="0088216E" w:rsidRDefault="0088216E" w:rsidP="0088216E">
    <w:pPr>
      <w:pStyle w:val="Header"/>
      <w:jc w:val="right"/>
    </w:pPr>
    <w:r>
      <w:t>Ethan Taylor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F0"/>
    <w:rsid w:val="00004290"/>
    <w:rsid w:val="00012DAB"/>
    <w:rsid w:val="000177CE"/>
    <w:rsid w:val="00030B2F"/>
    <w:rsid w:val="000320F9"/>
    <w:rsid w:val="00084E4E"/>
    <w:rsid w:val="000E028E"/>
    <w:rsid w:val="000E1BE9"/>
    <w:rsid w:val="000F0255"/>
    <w:rsid w:val="00100B37"/>
    <w:rsid w:val="00125E29"/>
    <w:rsid w:val="00193ECE"/>
    <w:rsid w:val="001C1BA0"/>
    <w:rsid w:val="001D1804"/>
    <w:rsid w:val="00212231"/>
    <w:rsid w:val="0023576E"/>
    <w:rsid w:val="0024117C"/>
    <w:rsid w:val="00243701"/>
    <w:rsid w:val="00275A88"/>
    <w:rsid w:val="00286612"/>
    <w:rsid w:val="0029254A"/>
    <w:rsid w:val="002A4844"/>
    <w:rsid w:val="002D6505"/>
    <w:rsid w:val="002F1E25"/>
    <w:rsid w:val="003208DE"/>
    <w:rsid w:val="003268B5"/>
    <w:rsid w:val="003538A8"/>
    <w:rsid w:val="00366547"/>
    <w:rsid w:val="00385DE3"/>
    <w:rsid w:val="003D5342"/>
    <w:rsid w:val="003F444E"/>
    <w:rsid w:val="00424F8E"/>
    <w:rsid w:val="00443242"/>
    <w:rsid w:val="00455083"/>
    <w:rsid w:val="0046016C"/>
    <w:rsid w:val="00462049"/>
    <w:rsid w:val="00473896"/>
    <w:rsid w:val="00487082"/>
    <w:rsid w:val="004C7A1E"/>
    <w:rsid w:val="004D282A"/>
    <w:rsid w:val="0056201C"/>
    <w:rsid w:val="005A0C65"/>
    <w:rsid w:val="005B3672"/>
    <w:rsid w:val="005B57A9"/>
    <w:rsid w:val="005B6902"/>
    <w:rsid w:val="005B790C"/>
    <w:rsid w:val="005C14D2"/>
    <w:rsid w:val="00644857"/>
    <w:rsid w:val="00677291"/>
    <w:rsid w:val="006B220A"/>
    <w:rsid w:val="006B50F5"/>
    <w:rsid w:val="007146C7"/>
    <w:rsid w:val="007323A7"/>
    <w:rsid w:val="00737CAC"/>
    <w:rsid w:val="00751CC1"/>
    <w:rsid w:val="00783965"/>
    <w:rsid w:val="00793FDC"/>
    <w:rsid w:val="00795E45"/>
    <w:rsid w:val="0079737B"/>
    <w:rsid w:val="00836DF0"/>
    <w:rsid w:val="00866C90"/>
    <w:rsid w:val="0088216E"/>
    <w:rsid w:val="008A6573"/>
    <w:rsid w:val="008D70D7"/>
    <w:rsid w:val="008E3EF7"/>
    <w:rsid w:val="008E5BB8"/>
    <w:rsid w:val="008F7CDA"/>
    <w:rsid w:val="009038CA"/>
    <w:rsid w:val="009209D6"/>
    <w:rsid w:val="009644D7"/>
    <w:rsid w:val="009650FE"/>
    <w:rsid w:val="00990E99"/>
    <w:rsid w:val="009B674E"/>
    <w:rsid w:val="009D3E1C"/>
    <w:rsid w:val="009F4D4F"/>
    <w:rsid w:val="009F779B"/>
    <w:rsid w:val="00A421A3"/>
    <w:rsid w:val="00A50AD4"/>
    <w:rsid w:val="00A52F9D"/>
    <w:rsid w:val="00A5536C"/>
    <w:rsid w:val="00A76279"/>
    <w:rsid w:val="00A957D4"/>
    <w:rsid w:val="00AB77B3"/>
    <w:rsid w:val="00AD21D2"/>
    <w:rsid w:val="00AE48CB"/>
    <w:rsid w:val="00B635DD"/>
    <w:rsid w:val="00B7306D"/>
    <w:rsid w:val="00BD3A79"/>
    <w:rsid w:val="00BD5A53"/>
    <w:rsid w:val="00BD5E60"/>
    <w:rsid w:val="00C02EF5"/>
    <w:rsid w:val="00C62ADE"/>
    <w:rsid w:val="00C91507"/>
    <w:rsid w:val="00D04390"/>
    <w:rsid w:val="00D17BDD"/>
    <w:rsid w:val="00D3607E"/>
    <w:rsid w:val="00D90A89"/>
    <w:rsid w:val="00D92728"/>
    <w:rsid w:val="00D93689"/>
    <w:rsid w:val="00DC1FAB"/>
    <w:rsid w:val="00E35E23"/>
    <w:rsid w:val="00E7489E"/>
    <w:rsid w:val="00EA0188"/>
    <w:rsid w:val="00EC7661"/>
    <w:rsid w:val="00F133A2"/>
    <w:rsid w:val="00F209CE"/>
    <w:rsid w:val="00F33322"/>
    <w:rsid w:val="00F362A0"/>
    <w:rsid w:val="00F40AC6"/>
    <w:rsid w:val="00F416D0"/>
    <w:rsid w:val="00F57E83"/>
    <w:rsid w:val="00F71D73"/>
    <w:rsid w:val="00FB6B12"/>
    <w:rsid w:val="00FD152E"/>
    <w:rsid w:val="00FE063C"/>
    <w:rsid w:val="00FE3383"/>
    <w:rsid w:val="00FE7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CD57A"/>
  <w15:chartTrackingRefBased/>
  <w15:docId w15:val="{35C58ADC-78C5-4B5F-9B55-7C87FBDA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84"/>
    <w:pPr>
      <w:spacing w:line="256" w:lineRule="auto"/>
    </w:pPr>
    <w:rPr>
      <w:kern w:val="0"/>
      <w14:ligatures w14:val="none"/>
    </w:rPr>
  </w:style>
  <w:style w:type="paragraph" w:styleId="Heading1">
    <w:name w:val="heading 1"/>
    <w:basedOn w:val="Normal"/>
    <w:next w:val="Normal"/>
    <w:link w:val="Heading1Char"/>
    <w:uiPriority w:val="9"/>
    <w:qFormat/>
    <w:rsid w:val="00353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08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38A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6201C"/>
    <w:rPr>
      <w:color w:val="0563C1" w:themeColor="hyperlink"/>
      <w:u w:val="single"/>
    </w:rPr>
  </w:style>
  <w:style w:type="character" w:styleId="UnresolvedMention">
    <w:name w:val="Unresolved Mention"/>
    <w:basedOn w:val="DefaultParagraphFont"/>
    <w:uiPriority w:val="99"/>
    <w:semiHidden/>
    <w:unhideWhenUsed/>
    <w:rsid w:val="0056201C"/>
    <w:rPr>
      <w:color w:val="605E5C"/>
      <w:shd w:val="clear" w:color="auto" w:fill="E1DFDD"/>
    </w:rPr>
  </w:style>
  <w:style w:type="character" w:styleId="FollowedHyperlink">
    <w:name w:val="FollowedHyperlink"/>
    <w:basedOn w:val="DefaultParagraphFont"/>
    <w:uiPriority w:val="99"/>
    <w:semiHidden/>
    <w:unhideWhenUsed/>
    <w:rsid w:val="000177CE"/>
    <w:rPr>
      <w:color w:val="954F72" w:themeColor="followedHyperlink"/>
      <w:u w:val="single"/>
    </w:rPr>
  </w:style>
  <w:style w:type="paragraph" w:styleId="Header">
    <w:name w:val="header"/>
    <w:basedOn w:val="Normal"/>
    <w:link w:val="HeaderChar"/>
    <w:uiPriority w:val="99"/>
    <w:unhideWhenUsed/>
    <w:rsid w:val="00882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6E"/>
    <w:rPr>
      <w:kern w:val="0"/>
      <w14:ligatures w14:val="none"/>
    </w:rPr>
  </w:style>
  <w:style w:type="paragraph" w:styleId="Footer">
    <w:name w:val="footer"/>
    <w:basedOn w:val="Normal"/>
    <w:link w:val="FooterChar"/>
    <w:uiPriority w:val="99"/>
    <w:unhideWhenUsed/>
    <w:rsid w:val="00882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29942">
      <w:bodyDiv w:val="1"/>
      <w:marLeft w:val="0"/>
      <w:marRight w:val="0"/>
      <w:marTop w:val="0"/>
      <w:marBottom w:val="0"/>
      <w:divBdr>
        <w:top w:val="none" w:sz="0" w:space="0" w:color="auto"/>
        <w:left w:val="none" w:sz="0" w:space="0" w:color="auto"/>
        <w:bottom w:val="none" w:sz="0" w:space="0" w:color="auto"/>
        <w:right w:val="none" w:sz="0" w:space="0" w:color="auto"/>
      </w:divBdr>
      <w:divsChild>
        <w:div w:id="1001545368">
          <w:marLeft w:val="0"/>
          <w:marRight w:val="0"/>
          <w:marTop w:val="0"/>
          <w:marBottom w:val="0"/>
          <w:divBdr>
            <w:top w:val="none" w:sz="0" w:space="0" w:color="auto"/>
            <w:left w:val="none" w:sz="0" w:space="0" w:color="auto"/>
            <w:bottom w:val="none" w:sz="0" w:space="0" w:color="auto"/>
            <w:right w:val="none" w:sz="0" w:space="0" w:color="auto"/>
          </w:divBdr>
        </w:div>
        <w:div w:id="612983583">
          <w:marLeft w:val="0"/>
          <w:marRight w:val="0"/>
          <w:marTop w:val="0"/>
          <w:marBottom w:val="0"/>
          <w:divBdr>
            <w:top w:val="none" w:sz="0" w:space="0" w:color="auto"/>
            <w:left w:val="none" w:sz="0" w:space="0" w:color="auto"/>
            <w:bottom w:val="none" w:sz="0" w:space="0" w:color="auto"/>
            <w:right w:val="none" w:sz="0" w:space="0" w:color="auto"/>
          </w:divBdr>
        </w:div>
        <w:div w:id="1212837995">
          <w:marLeft w:val="0"/>
          <w:marRight w:val="0"/>
          <w:marTop w:val="0"/>
          <w:marBottom w:val="0"/>
          <w:divBdr>
            <w:top w:val="none" w:sz="0" w:space="0" w:color="auto"/>
            <w:left w:val="none" w:sz="0" w:space="0" w:color="auto"/>
            <w:bottom w:val="none" w:sz="0" w:space="0" w:color="auto"/>
            <w:right w:val="none" w:sz="0" w:space="0" w:color="auto"/>
          </w:divBdr>
        </w:div>
        <w:div w:id="1601374812">
          <w:marLeft w:val="0"/>
          <w:marRight w:val="0"/>
          <w:marTop w:val="0"/>
          <w:marBottom w:val="0"/>
          <w:divBdr>
            <w:top w:val="none" w:sz="0" w:space="0" w:color="auto"/>
            <w:left w:val="none" w:sz="0" w:space="0" w:color="auto"/>
            <w:bottom w:val="none" w:sz="0" w:space="0" w:color="auto"/>
            <w:right w:val="none" w:sz="0" w:space="0" w:color="auto"/>
          </w:divBdr>
        </w:div>
        <w:div w:id="2026200468">
          <w:marLeft w:val="0"/>
          <w:marRight w:val="0"/>
          <w:marTop w:val="0"/>
          <w:marBottom w:val="0"/>
          <w:divBdr>
            <w:top w:val="none" w:sz="0" w:space="0" w:color="auto"/>
            <w:left w:val="none" w:sz="0" w:space="0" w:color="auto"/>
            <w:bottom w:val="none" w:sz="0" w:space="0" w:color="auto"/>
            <w:right w:val="none" w:sz="0" w:space="0" w:color="auto"/>
          </w:divBdr>
        </w:div>
        <w:div w:id="213008271">
          <w:marLeft w:val="0"/>
          <w:marRight w:val="0"/>
          <w:marTop w:val="0"/>
          <w:marBottom w:val="0"/>
          <w:divBdr>
            <w:top w:val="none" w:sz="0" w:space="0" w:color="auto"/>
            <w:left w:val="none" w:sz="0" w:space="0" w:color="auto"/>
            <w:bottom w:val="none" w:sz="0" w:space="0" w:color="auto"/>
            <w:right w:val="none" w:sz="0" w:space="0" w:color="auto"/>
          </w:divBdr>
        </w:div>
        <w:div w:id="1741097361">
          <w:marLeft w:val="0"/>
          <w:marRight w:val="0"/>
          <w:marTop w:val="0"/>
          <w:marBottom w:val="0"/>
          <w:divBdr>
            <w:top w:val="none" w:sz="0" w:space="0" w:color="auto"/>
            <w:left w:val="none" w:sz="0" w:space="0" w:color="auto"/>
            <w:bottom w:val="none" w:sz="0" w:space="0" w:color="auto"/>
            <w:right w:val="none" w:sz="0" w:space="0" w:color="auto"/>
          </w:divBdr>
        </w:div>
      </w:divsChild>
    </w:div>
    <w:div w:id="827749035">
      <w:bodyDiv w:val="1"/>
      <w:marLeft w:val="0"/>
      <w:marRight w:val="0"/>
      <w:marTop w:val="0"/>
      <w:marBottom w:val="0"/>
      <w:divBdr>
        <w:top w:val="none" w:sz="0" w:space="0" w:color="auto"/>
        <w:left w:val="none" w:sz="0" w:space="0" w:color="auto"/>
        <w:bottom w:val="none" w:sz="0" w:space="0" w:color="auto"/>
        <w:right w:val="none" w:sz="0" w:space="0" w:color="auto"/>
      </w:divBdr>
      <w:divsChild>
        <w:div w:id="1936086958">
          <w:marLeft w:val="0"/>
          <w:marRight w:val="0"/>
          <w:marTop w:val="0"/>
          <w:marBottom w:val="0"/>
          <w:divBdr>
            <w:top w:val="none" w:sz="0" w:space="0" w:color="auto"/>
            <w:left w:val="none" w:sz="0" w:space="0" w:color="auto"/>
            <w:bottom w:val="none" w:sz="0" w:space="0" w:color="auto"/>
            <w:right w:val="none" w:sz="0" w:space="0" w:color="auto"/>
          </w:divBdr>
        </w:div>
        <w:div w:id="1164248714">
          <w:marLeft w:val="0"/>
          <w:marRight w:val="0"/>
          <w:marTop w:val="0"/>
          <w:marBottom w:val="0"/>
          <w:divBdr>
            <w:top w:val="none" w:sz="0" w:space="0" w:color="auto"/>
            <w:left w:val="none" w:sz="0" w:space="0" w:color="auto"/>
            <w:bottom w:val="none" w:sz="0" w:space="0" w:color="auto"/>
            <w:right w:val="none" w:sz="0" w:space="0" w:color="auto"/>
          </w:divBdr>
        </w:div>
        <w:div w:id="1573462107">
          <w:marLeft w:val="0"/>
          <w:marRight w:val="0"/>
          <w:marTop w:val="0"/>
          <w:marBottom w:val="0"/>
          <w:divBdr>
            <w:top w:val="none" w:sz="0" w:space="0" w:color="auto"/>
            <w:left w:val="none" w:sz="0" w:space="0" w:color="auto"/>
            <w:bottom w:val="none" w:sz="0" w:space="0" w:color="auto"/>
            <w:right w:val="none" w:sz="0" w:space="0" w:color="auto"/>
          </w:divBdr>
        </w:div>
        <w:div w:id="1557542369">
          <w:marLeft w:val="0"/>
          <w:marRight w:val="0"/>
          <w:marTop w:val="0"/>
          <w:marBottom w:val="0"/>
          <w:divBdr>
            <w:top w:val="none" w:sz="0" w:space="0" w:color="auto"/>
            <w:left w:val="none" w:sz="0" w:space="0" w:color="auto"/>
            <w:bottom w:val="none" w:sz="0" w:space="0" w:color="auto"/>
            <w:right w:val="none" w:sz="0" w:space="0" w:color="auto"/>
          </w:divBdr>
        </w:div>
        <w:div w:id="318310709">
          <w:marLeft w:val="0"/>
          <w:marRight w:val="0"/>
          <w:marTop w:val="0"/>
          <w:marBottom w:val="0"/>
          <w:divBdr>
            <w:top w:val="none" w:sz="0" w:space="0" w:color="auto"/>
            <w:left w:val="none" w:sz="0" w:space="0" w:color="auto"/>
            <w:bottom w:val="none" w:sz="0" w:space="0" w:color="auto"/>
            <w:right w:val="none" w:sz="0" w:space="0" w:color="auto"/>
          </w:divBdr>
        </w:div>
        <w:div w:id="855389440">
          <w:marLeft w:val="0"/>
          <w:marRight w:val="0"/>
          <w:marTop w:val="0"/>
          <w:marBottom w:val="0"/>
          <w:divBdr>
            <w:top w:val="none" w:sz="0" w:space="0" w:color="auto"/>
            <w:left w:val="none" w:sz="0" w:space="0" w:color="auto"/>
            <w:bottom w:val="none" w:sz="0" w:space="0" w:color="auto"/>
            <w:right w:val="none" w:sz="0" w:space="0" w:color="auto"/>
          </w:divBdr>
        </w:div>
        <w:div w:id="1731490161">
          <w:marLeft w:val="0"/>
          <w:marRight w:val="0"/>
          <w:marTop w:val="0"/>
          <w:marBottom w:val="0"/>
          <w:divBdr>
            <w:top w:val="none" w:sz="0" w:space="0" w:color="auto"/>
            <w:left w:val="none" w:sz="0" w:space="0" w:color="auto"/>
            <w:bottom w:val="none" w:sz="0" w:space="0" w:color="auto"/>
            <w:right w:val="none" w:sz="0" w:space="0" w:color="auto"/>
          </w:divBdr>
        </w:div>
      </w:divsChild>
    </w:div>
    <w:div w:id="967321861">
      <w:bodyDiv w:val="1"/>
      <w:marLeft w:val="0"/>
      <w:marRight w:val="0"/>
      <w:marTop w:val="0"/>
      <w:marBottom w:val="0"/>
      <w:divBdr>
        <w:top w:val="none" w:sz="0" w:space="0" w:color="auto"/>
        <w:left w:val="none" w:sz="0" w:space="0" w:color="auto"/>
        <w:bottom w:val="none" w:sz="0" w:space="0" w:color="auto"/>
        <w:right w:val="none" w:sz="0" w:space="0" w:color="auto"/>
      </w:divBdr>
    </w:div>
    <w:div w:id="981538843">
      <w:bodyDiv w:val="1"/>
      <w:marLeft w:val="0"/>
      <w:marRight w:val="0"/>
      <w:marTop w:val="0"/>
      <w:marBottom w:val="0"/>
      <w:divBdr>
        <w:top w:val="none" w:sz="0" w:space="0" w:color="auto"/>
        <w:left w:val="none" w:sz="0" w:space="0" w:color="auto"/>
        <w:bottom w:val="none" w:sz="0" w:space="0" w:color="auto"/>
        <w:right w:val="none" w:sz="0" w:space="0" w:color="auto"/>
      </w:divBdr>
    </w:div>
    <w:div w:id="987057329">
      <w:bodyDiv w:val="1"/>
      <w:marLeft w:val="0"/>
      <w:marRight w:val="0"/>
      <w:marTop w:val="0"/>
      <w:marBottom w:val="0"/>
      <w:divBdr>
        <w:top w:val="none" w:sz="0" w:space="0" w:color="auto"/>
        <w:left w:val="none" w:sz="0" w:space="0" w:color="auto"/>
        <w:bottom w:val="none" w:sz="0" w:space="0" w:color="auto"/>
        <w:right w:val="none" w:sz="0" w:space="0" w:color="auto"/>
      </w:divBdr>
      <w:divsChild>
        <w:div w:id="988558099">
          <w:marLeft w:val="0"/>
          <w:marRight w:val="0"/>
          <w:marTop w:val="0"/>
          <w:marBottom w:val="0"/>
          <w:divBdr>
            <w:top w:val="none" w:sz="0" w:space="0" w:color="auto"/>
            <w:left w:val="none" w:sz="0" w:space="0" w:color="auto"/>
            <w:bottom w:val="none" w:sz="0" w:space="0" w:color="auto"/>
            <w:right w:val="none" w:sz="0" w:space="0" w:color="auto"/>
          </w:divBdr>
        </w:div>
        <w:div w:id="2046447219">
          <w:marLeft w:val="0"/>
          <w:marRight w:val="0"/>
          <w:marTop w:val="0"/>
          <w:marBottom w:val="0"/>
          <w:divBdr>
            <w:top w:val="none" w:sz="0" w:space="0" w:color="auto"/>
            <w:left w:val="none" w:sz="0" w:space="0" w:color="auto"/>
            <w:bottom w:val="none" w:sz="0" w:space="0" w:color="auto"/>
            <w:right w:val="none" w:sz="0" w:space="0" w:color="auto"/>
          </w:divBdr>
        </w:div>
        <w:div w:id="843014235">
          <w:marLeft w:val="0"/>
          <w:marRight w:val="0"/>
          <w:marTop w:val="0"/>
          <w:marBottom w:val="0"/>
          <w:divBdr>
            <w:top w:val="none" w:sz="0" w:space="0" w:color="auto"/>
            <w:left w:val="none" w:sz="0" w:space="0" w:color="auto"/>
            <w:bottom w:val="none" w:sz="0" w:space="0" w:color="auto"/>
            <w:right w:val="none" w:sz="0" w:space="0" w:color="auto"/>
          </w:divBdr>
        </w:div>
      </w:divsChild>
    </w:div>
    <w:div w:id="1113750180">
      <w:bodyDiv w:val="1"/>
      <w:marLeft w:val="0"/>
      <w:marRight w:val="0"/>
      <w:marTop w:val="0"/>
      <w:marBottom w:val="0"/>
      <w:divBdr>
        <w:top w:val="none" w:sz="0" w:space="0" w:color="auto"/>
        <w:left w:val="none" w:sz="0" w:space="0" w:color="auto"/>
        <w:bottom w:val="none" w:sz="0" w:space="0" w:color="auto"/>
        <w:right w:val="none" w:sz="0" w:space="0" w:color="auto"/>
      </w:divBdr>
      <w:divsChild>
        <w:div w:id="665128514">
          <w:marLeft w:val="0"/>
          <w:marRight w:val="0"/>
          <w:marTop w:val="0"/>
          <w:marBottom w:val="0"/>
          <w:divBdr>
            <w:top w:val="none" w:sz="0" w:space="0" w:color="auto"/>
            <w:left w:val="none" w:sz="0" w:space="0" w:color="auto"/>
            <w:bottom w:val="none" w:sz="0" w:space="0" w:color="auto"/>
            <w:right w:val="none" w:sz="0" w:space="0" w:color="auto"/>
          </w:divBdr>
        </w:div>
        <w:div w:id="2013991151">
          <w:marLeft w:val="0"/>
          <w:marRight w:val="0"/>
          <w:marTop w:val="0"/>
          <w:marBottom w:val="0"/>
          <w:divBdr>
            <w:top w:val="none" w:sz="0" w:space="0" w:color="auto"/>
            <w:left w:val="none" w:sz="0" w:space="0" w:color="auto"/>
            <w:bottom w:val="none" w:sz="0" w:space="0" w:color="auto"/>
            <w:right w:val="none" w:sz="0" w:space="0" w:color="auto"/>
          </w:divBdr>
        </w:div>
        <w:div w:id="993997472">
          <w:marLeft w:val="0"/>
          <w:marRight w:val="0"/>
          <w:marTop w:val="0"/>
          <w:marBottom w:val="0"/>
          <w:divBdr>
            <w:top w:val="none" w:sz="0" w:space="0" w:color="auto"/>
            <w:left w:val="none" w:sz="0" w:space="0" w:color="auto"/>
            <w:bottom w:val="none" w:sz="0" w:space="0" w:color="auto"/>
            <w:right w:val="none" w:sz="0" w:space="0" w:color="auto"/>
          </w:divBdr>
        </w:div>
        <w:div w:id="733431333">
          <w:marLeft w:val="0"/>
          <w:marRight w:val="0"/>
          <w:marTop w:val="0"/>
          <w:marBottom w:val="0"/>
          <w:divBdr>
            <w:top w:val="none" w:sz="0" w:space="0" w:color="auto"/>
            <w:left w:val="none" w:sz="0" w:space="0" w:color="auto"/>
            <w:bottom w:val="none" w:sz="0" w:space="0" w:color="auto"/>
            <w:right w:val="none" w:sz="0" w:space="0" w:color="auto"/>
          </w:divBdr>
        </w:div>
        <w:div w:id="568536079">
          <w:marLeft w:val="0"/>
          <w:marRight w:val="0"/>
          <w:marTop w:val="0"/>
          <w:marBottom w:val="0"/>
          <w:divBdr>
            <w:top w:val="none" w:sz="0" w:space="0" w:color="auto"/>
            <w:left w:val="none" w:sz="0" w:space="0" w:color="auto"/>
            <w:bottom w:val="none" w:sz="0" w:space="0" w:color="auto"/>
            <w:right w:val="none" w:sz="0" w:space="0" w:color="auto"/>
          </w:divBdr>
        </w:div>
      </w:divsChild>
    </w:div>
    <w:div w:id="1304967422">
      <w:bodyDiv w:val="1"/>
      <w:marLeft w:val="0"/>
      <w:marRight w:val="0"/>
      <w:marTop w:val="0"/>
      <w:marBottom w:val="0"/>
      <w:divBdr>
        <w:top w:val="none" w:sz="0" w:space="0" w:color="auto"/>
        <w:left w:val="none" w:sz="0" w:space="0" w:color="auto"/>
        <w:bottom w:val="none" w:sz="0" w:space="0" w:color="auto"/>
        <w:right w:val="none" w:sz="0" w:space="0" w:color="auto"/>
      </w:divBdr>
      <w:divsChild>
        <w:div w:id="1636178163">
          <w:marLeft w:val="0"/>
          <w:marRight w:val="0"/>
          <w:marTop w:val="0"/>
          <w:marBottom w:val="0"/>
          <w:divBdr>
            <w:top w:val="none" w:sz="0" w:space="0" w:color="auto"/>
            <w:left w:val="none" w:sz="0" w:space="0" w:color="auto"/>
            <w:bottom w:val="none" w:sz="0" w:space="0" w:color="auto"/>
            <w:right w:val="none" w:sz="0" w:space="0" w:color="auto"/>
          </w:divBdr>
        </w:div>
        <w:div w:id="892427659">
          <w:marLeft w:val="0"/>
          <w:marRight w:val="0"/>
          <w:marTop w:val="0"/>
          <w:marBottom w:val="0"/>
          <w:divBdr>
            <w:top w:val="none" w:sz="0" w:space="0" w:color="auto"/>
            <w:left w:val="none" w:sz="0" w:space="0" w:color="auto"/>
            <w:bottom w:val="none" w:sz="0" w:space="0" w:color="auto"/>
            <w:right w:val="none" w:sz="0" w:space="0" w:color="auto"/>
          </w:divBdr>
        </w:div>
        <w:div w:id="1260991186">
          <w:marLeft w:val="0"/>
          <w:marRight w:val="0"/>
          <w:marTop w:val="0"/>
          <w:marBottom w:val="0"/>
          <w:divBdr>
            <w:top w:val="none" w:sz="0" w:space="0" w:color="auto"/>
            <w:left w:val="none" w:sz="0" w:space="0" w:color="auto"/>
            <w:bottom w:val="none" w:sz="0" w:space="0" w:color="auto"/>
            <w:right w:val="none" w:sz="0" w:space="0" w:color="auto"/>
          </w:divBdr>
        </w:div>
        <w:div w:id="1132866759">
          <w:marLeft w:val="0"/>
          <w:marRight w:val="0"/>
          <w:marTop w:val="0"/>
          <w:marBottom w:val="0"/>
          <w:divBdr>
            <w:top w:val="none" w:sz="0" w:space="0" w:color="auto"/>
            <w:left w:val="none" w:sz="0" w:space="0" w:color="auto"/>
            <w:bottom w:val="none" w:sz="0" w:space="0" w:color="auto"/>
            <w:right w:val="none" w:sz="0" w:space="0" w:color="auto"/>
          </w:divBdr>
        </w:div>
        <w:div w:id="1542404619">
          <w:marLeft w:val="0"/>
          <w:marRight w:val="0"/>
          <w:marTop w:val="0"/>
          <w:marBottom w:val="0"/>
          <w:divBdr>
            <w:top w:val="none" w:sz="0" w:space="0" w:color="auto"/>
            <w:left w:val="none" w:sz="0" w:space="0" w:color="auto"/>
            <w:bottom w:val="none" w:sz="0" w:space="0" w:color="auto"/>
            <w:right w:val="none" w:sz="0" w:space="0" w:color="auto"/>
          </w:divBdr>
        </w:div>
      </w:divsChild>
    </w:div>
    <w:div w:id="1477600318">
      <w:bodyDiv w:val="1"/>
      <w:marLeft w:val="0"/>
      <w:marRight w:val="0"/>
      <w:marTop w:val="0"/>
      <w:marBottom w:val="0"/>
      <w:divBdr>
        <w:top w:val="none" w:sz="0" w:space="0" w:color="auto"/>
        <w:left w:val="none" w:sz="0" w:space="0" w:color="auto"/>
        <w:bottom w:val="none" w:sz="0" w:space="0" w:color="auto"/>
        <w:right w:val="none" w:sz="0" w:space="0" w:color="auto"/>
      </w:divBdr>
      <w:divsChild>
        <w:div w:id="944001389">
          <w:marLeft w:val="0"/>
          <w:marRight w:val="0"/>
          <w:marTop w:val="0"/>
          <w:marBottom w:val="0"/>
          <w:divBdr>
            <w:top w:val="none" w:sz="0" w:space="0" w:color="auto"/>
            <w:left w:val="none" w:sz="0" w:space="0" w:color="auto"/>
            <w:bottom w:val="none" w:sz="0" w:space="0" w:color="auto"/>
            <w:right w:val="none" w:sz="0" w:space="0" w:color="auto"/>
          </w:divBdr>
        </w:div>
        <w:div w:id="1456413436">
          <w:marLeft w:val="0"/>
          <w:marRight w:val="0"/>
          <w:marTop w:val="0"/>
          <w:marBottom w:val="0"/>
          <w:divBdr>
            <w:top w:val="none" w:sz="0" w:space="0" w:color="auto"/>
            <w:left w:val="none" w:sz="0" w:space="0" w:color="auto"/>
            <w:bottom w:val="none" w:sz="0" w:space="0" w:color="auto"/>
            <w:right w:val="none" w:sz="0" w:space="0" w:color="auto"/>
          </w:divBdr>
        </w:div>
        <w:div w:id="1174031294">
          <w:marLeft w:val="0"/>
          <w:marRight w:val="0"/>
          <w:marTop w:val="0"/>
          <w:marBottom w:val="0"/>
          <w:divBdr>
            <w:top w:val="none" w:sz="0" w:space="0" w:color="auto"/>
            <w:left w:val="none" w:sz="0" w:space="0" w:color="auto"/>
            <w:bottom w:val="none" w:sz="0" w:space="0" w:color="auto"/>
            <w:right w:val="none" w:sz="0" w:space="0" w:color="auto"/>
          </w:divBdr>
        </w:div>
      </w:divsChild>
    </w:div>
    <w:div w:id="1532185296">
      <w:bodyDiv w:val="1"/>
      <w:marLeft w:val="0"/>
      <w:marRight w:val="0"/>
      <w:marTop w:val="0"/>
      <w:marBottom w:val="0"/>
      <w:divBdr>
        <w:top w:val="none" w:sz="0" w:space="0" w:color="auto"/>
        <w:left w:val="none" w:sz="0" w:space="0" w:color="auto"/>
        <w:bottom w:val="none" w:sz="0" w:space="0" w:color="auto"/>
        <w:right w:val="none" w:sz="0" w:space="0" w:color="auto"/>
      </w:divBdr>
      <w:divsChild>
        <w:div w:id="1439983187">
          <w:marLeft w:val="0"/>
          <w:marRight w:val="0"/>
          <w:marTop w:val="0"/>
          <w:marBottom w:val="0"/>
          <w:divBdr>
            <w:top w:val="none" w:sz="0" w:space="0" w:color="auto"/>
            <w:left w:val="none" w:sz="0" w:space="0" w:color="auto"/>
            <w:bottom w:val="none" w:sz="0" w:space="0" w:color="auto"/>
            <w:right w:val="none" w:sz="0" w:space="0" w:color="auto"/>
          </w:divBdr>
        </w:div>
        <w:div w:id="469057672">
          <w:marLeft w:val="0"/>
          <w:marRight w:val="0"/>
          <w:marTop w:val="0"/>
          <w:marBottom w:val="0"/>
          <w:divBdr>
            <w:top w:val="none" w:sz="0" w:space="0" w:color="auto"/>
            <w:left w:val="none" w:sz="0" w:space="0" w:color="auto"/>
            <w:bottom w:val="none" w:sz="0" w:space="0" w:color="auto"/>
            <w:right w:val="none" w:sz="0" w:space="0" w:color="auto"/>
          </w:divBdr>
        </w:div>
        <w:div w:id="1252356519">
          <w:marLeft w:val="0"/>
          <w:marRight w:val="0"/>
          <w:marTop w:val="0"/>
          <w:marBottom w:val="0"/>
          <w:divBdr>
            <w:top w:val="none" w:sz="0" w:space="0" w:color="auto"/>
            <w:left w:val="none" w:sz="0" w:space="0" w:color="auto"/>
            <w:bottom w:val="none" w:sz="0" w:space="0" w:color="auto"/>
            <w:right w:val="none" w:sz="0" w:space="0" w:color="auto"/>
          </w:divBdr>
        </w:div>
        <w:div w:id="725031309">
          <w:marLeft w:val="0"/>
          <w:marRight w:val="0"/>
          <w:marTop w:val="0"/>
          <w:marBottom w:val="0"/>
          <w:divBdr>
            <w:top w:val="none" w:sz="0" w:space="0" w:color="auto"/>
            <w:left w:val="none" w:sz="0" w:space="0" w:color="auto"/>
            <w:bottom w:val="none" w:sz="0" w:space="0" w:color="auto"/>
            <w:right w:val="none" w:sz="0" w:space="0" w:color="auto"/>
          </w:divBdr>
        </w:div>
        <w:div w:id="1249538455">
          <w:marLeft w:val="0"/>
          <w:marRight w:val="0"/>
          <w:marTop w:val="0"/>
          <w:marBottom w:val="0"/>
          <w:divBdr>
            <w:top w:val="none" w:sz="0" w:space="0" w:color="auto"/>
            <w:left w:val="none" w:sz="0" w:space="0" w:color="auto"/>
            <w:bottom w:val="none" w:sz="0" w:space="0" w:color="auto"/>
            <w:right w:val="none" w:sz="0" w:space="0" w:color="auto"/>
          </w:divBdr>
        </w:div>
      </w:divsChild>
    </w:div>
    <w:div w:id="1742176134">
      <w:bodyDiv w:val="1"/>
      <w:marLeft w:val="0"/>
      <w:marRight w:val="0"/>
      <w:marTop w:val="0"/>
      <w:marBottom w:val="0"/>
      <w:divBdr>
        <w:top w:val="none" w:sz="0" w:space="0" w:color="auto"/>
        <w:left w:val="none" w:sz="0" w:space="0" w:color="auto"/>
        <w:bottom w:val="none" w:sz="0" w:space="0" w:color="auto"/>
        <w:right w:val="none" w:sz="0" w:space="0" w:color="auto"/>
      </w:divBdr>
      <w:divsChild>
        <w:div w:id="150097778">
          <w:marLeft w:val="0"/>
          <w:marRight w:val="0"/>
          <w:marTop w:val="0"/>
          <w:marBottom w:val="0"/>
          <w:divBdr>
            <w:top w:val="none" w:sz="0" w:space="0" w:color="auto"/>
            <w:left w:val="none" w:sz="0" w:space="0" w:color="auto"/>
            <w:bottom w:val="none" w:sz="0" w:space="0" w:color="auto"/>
            <w:right w:val="none" w:sz="0" w:space="0" w:color="auto"/>
          </w:divBdr>
        </w:div>
        <w:div w:id="1706246323">
          <w:marLeft w:val="0"/>
          <w:marRight w:val="0"/>
          <w:marTop w:val="0"/>
          <w:marBottom w:val="0"/>
          <w:divBdr>
            <w:top w:val="none" w:sz="0" w:space="0" w:color="auto"/>
            <w:left w:val="none" w:sz="0" w:space="0" w:color="auto"/>
            <w:bottom w:val="none" w:sz="0" w:space="0" w:color="auto"/>
            <w:right w:val="none" w:sz="0" w:space="0" w:color="auto"/>
          </w:divBdr>
        </w:div>
        <w:div w:id="744650859">
          <w:marLeft w:val="0"/>
          <w:marRight w:val="0"/>
          <w:marTop w:val="0"/>
          <w:marBottom w:val="0"/>
          <w:divBdr>
            <w:top w:val="none" w:sz="0" w:space="0" w:color="auto"/>
            <w:left w:val="none" w:sz="0" w:space="0" w:color="auto"/>
            <w:bottom w:val="none" w:sz="0" w:space="0" w:color="auto"/>
            <w:right w:val="none" w:sz="0" w:space="0" w:color="auto"/>
          </w:divBdr>
        </w:div>
        <w:div w:id="1218200775">
          <w:marLeft w:val="0"/>
          <w:marRight w:val="0"/>
          <w:marTop w:val="0"/>
          <w:marBottom w:val="0"/>
          <w:divBdr>
            <w:top w:val="none" w:sz="0" w:space="0" w:color="auto"/>
            <w:left w:val="none" w:sz="0" w:space="0" w:color="auto"/>
            <w:bottom w:val="none" w:sz="0" w:space="0" w:color="auto"/>
            <w:right w:val="none" w:sz="0" w:space="0" w:color="auto"/>
          </w:divBdr>
        </w:div>
        <w:div w:id="378281111">
          <w:marLeft w:val="0"/>
          <w:marRight w:val="0"/>
          <w:marTop w:val="0"/>
          <w:marBottom w:val="0"/>
          <w:divBdr>
            <w:top w:val="none" w:sz="0" w:space="0" w:color="auto"/>
            <w:left w:val="none" w:sz="0" w:space="0" w:color="auto"/>
            <w:bottom w:val="none" w:sz="0" w:space="0" w:color="auto"/>
            <w:right w:val="none" w:sz="0" w:space="0" w:color="auto"/>
          </w:divBdr>
        </w:div>
      </w:divsChild>
    </w:div>
    <w:div w:id="1843004100">
      <w:bodyDiv w:val="1"/>
      <w:marLeft w:val="0"/>
      <w:marRight w:val="0"/>
      <w:marTop w:val="0"/>
      <w:marBottom w:val="0"/>
      <w:divBdr>
        <w:top w:val="none" w:sz="0" w:space="0" w:color="auto"/>
        <w:left w:val="none" w:sz="0" w:space="0" w:color="auto"/>
        <w:bottom w:val="none" w:sz="0" w:space="0" w:color="auto"/>
        <w:right w:val="none" w:sz="0" w:space="0" w:color="auto"/>
      </w:divBdr>
      <w:divsChild>
        <w:div w:id="223763361">
          <w:marLeft w:val="0"/>
          <w:marRight w:val="0"/>
          <w:marTop w:val="0"/>
          <w:marBottom w:val="0"/>
          <w:divBdr>
            <w:top w:val="none" w:sz="0" w:space="0" w:color="auto"/>
            <w:left w:val="none" w:sz="0" w:space="0" w:color="auto"/>
            <w:bottom w:val="none" w:sz="0" w:space="0" w:color="auto"/>
            <w:right w:val="none" w:sz="0" w:space="0" w:color="auto"/>
          </w:divBdr>
        </w:div>
        <w:div w:id="1490554549">
          <w:marLeft w:val="0"/>
          <w:marRight w:val="0"/>
          <w:marTop w:val="0"/>
          <w:marBottom w:val="0"/>
          <w:divBdr>
            <w:top w:val="none" w:sz="0" w:space="0" w:color="auto"/>
            <w:left w:val="none" w:sz="0" w:space="0" w:color="auto"/>
            <w:bottom w:val="none" w:sz="0" w:space="0" w:color="auto"/>
            <w:right w:val="none" w:sz="0" w:space="0" w:color="auto"/>
          </w:divBdr>
        </w:div>
        <w:div w:id="924415739">
          <w:marLeft w:val="0"/>
          <w:marRight w:val="0"/>
          <w:marTop w:val="0"/>
          <w:marBottom w:val="0"/>
          <w:divBdr>
            <w:top w:val="none" w:sz="0" w:space="0" w:color="auto"/>
            <w:left w:val="none" w:sz="0" w:space="0" w:color="auto"/>
            <w:bottom w:val="none" w:sz="0" w:space="0" w:color="auto"/>
            <w:right w:val="none" w:sz="0" w:space="0" w:color="auto"/>
          </w:divBdr>
        </w:div>
        <w:div w:id="527570911">
          <w:marLeft w:val="0"/>
          <w:marRight w:val="0"/>
          <w:marTop w:val="0"/>
          <w:marBottom w:val="0"/>
          <w:divBdr>
            <w:top w:val="none" w:sz="0" w:space="0" w:color="auto"/>
            <w:left w:val="none" w:sz="0" w:space="0" w:color="auto"/>
            <w:bottom w:val="none" w:sz="0" w:space="0" w:color="auto"/>
            <w:right w:val="none" w:sz="0" w:space="0" w:color="auto"/>
          </w:divBdr>
        </w:div>
        <w:div w:id="1115902442">
          <w:marLeft w:val="0"/>
          <w:marRight w:val="0"/>
          <w:marTop w:val="0"/>
          <w:marBottom w:val="0"/>
          <w:divBdr>
            <w:top w:val="none" w:sz="0" w:space="0" w:color="auto"/>
            <w:left w:val="none" w:sz="0" w:space="0" w:color="auto"/>
            <w:bottom w:val="none" w:sz="0" w:space="0" w:color="auto"/>
            <w:right w:val="none" w:sz="0" w:space="0" w:color="auto"/>
          </w:divBdr>
        </w:div>
        <w:div w:id="433400801">
          <w:marLeft w:val="0"/>
          <w:marRight w:val="0"/>
          <w:marTop w:val="0"/>
          <w:marBottom w:val="0"/>
          <w:divBdr>
            <w:top w:val="none" w:sz="0" w:space="0" w:color="auto"/>
            <w:left w:val="none" w:sz="0" w:space="0" w:color="auto"/>
            <w:bottom w:val="none" w:sz="0" w:space="0" w:color="auto"/>
            <w:right w:val="none" w:sz="0" w:space="0" w:color="auto"/>
          </w:divBdr>
        </w:div>
        <w:div w:id="1587760453">
          <w:marLeft w:val="0"/>
          <w:marRight w:val="0"/>
          <w:marTop w:val="0"/>
          <w:marBottom w:val="0"/>
          <w:divBdr>
            <w:top w:val="none" w:sz="0" w:space="0" w:color="auto"/>
            <w:left w:val="none" w:sz="0" w:space="0" w:color="auto"/>
            <w:bottom w:val="none" w:sz="0" w:space="0" w:color="auto"/>
            <w:right w:val="none" w:sz="0" w:space="0" w:color="auto"/>
          </w:divBdr>
        </w:div>
        <w:div w:id="1731489835">
          <w:marLeft w:val="0"/>
          <w:marRight w:val="0"/>
          <w:marTop w:val="0"/>
          <w:marBottom w:val="0"/>
          <w:divBdr>
            <w:top w:val="none" w:sz="0" w:space="0" w:color="auto"/>
            <w:left w:val="none" w:sz="0" w:space="0" w:color="auto"/>
            <w:bottom w:val="none" w:sz="0" w:space="0" w:color="auto"/>
            <w:right w:val="none" w:sz="0" w:space="0" w:color="auto"/>
          </w:divBdr>
        </w:div>
        <w:div w:id="1359117987">
          <w:marLeft w:val="0"/>
          <w:marRight w:val="0"/>
          <w:marTop w:val="0"/>
          <w:marBottom w:val="0"/>
          <w:divBdr>
            <w:top w:val="none" w:sz="0" w:space="0" w:color="auto"/>
            <w:left w:val="none" w:sz="0" w:space="0" w:color="auto"/>
            <w:bottom w:val="none" w:sz="0" w:space="0" w:color="auto"/>
            <w:right w:val="none" w:sz="0" w:space="0" w:color="auto"/>
          </w:divBdr>
        </w:div>
      </w:divsChild>
    </w:div>
    <w:div w:id="2003504026">
      <w:bodyDiv w:val="1"/>
      <w:marLeft w:val="0"/>
      <w:marRight w:val="0"/>
      <w:marTop w:val="0"/>
      <w:marBottom w:val="0"/>
      <w:divBdr>
        <w:top w:val="none" w:sz="0" w:space="0" w:color="auto"/>
        <w:left w:val="none" w:sz="0" w:space="0" w:color="auto"/>
        <w:bottom w:val="none" w:sz="0" w:space="0" w:color="auto"/>
        <w:right w:val="none" w:sz="0" w:space="0" w:color="auto"/>
      </w:divBdr>
    </w:div>
    <w:div w:id="2004963366">
      <w:bodyDiv w:val="1"/>
      <w:marLeft w:val="0"/>
      <w:marRight w:val="0"/>
      <w:marTop w:val="0"/>
      <w:marBottom w:val="0"/>
      <w:divBdr>
        <w:top w:val="none" w:sz="0" w:space="0" w:color="auto"/>
        <w:left w:val="none" w:sz="0" w:space="0" w:color="auto"/>
        <w:bottom w:val="none" w:sz="0" w:space="0" w:color="auto"/>
        <w:right w:val="none" w:sz="0" w:space="0" w:color="auto"/>
      </w:divBdr>
      <w:divsChild>
        <w:div w:id="25103312">
          <w:marLeft w:val="0"/>
          <w:marRight w:val="0"/>
          <w:marTop w:val="0"/>
          <w:marBottom w:val="0"/>
          <w:divBdr>
            <w:top w:val="none" w:sz="0" w:space="0" w:color="auto"/>
            <w:left w:val="none" w:sz="0" w:space="0" w:color="auto"/>
            <w:bottom w:val="none" w:sz="0" w:space="0" w:color="auto"/>
            <w:right w:val="none" w:sz="0" w:space="0" w:color="auto"/>
          </w:divBdr>
        </w:div>
        <w:div w:id="1212501049">
          <w:marLeft w:val="0"/>
          <w:marRight w:val="0"/>
          <w:marTop w:val="0"/>
          <w:marBottom w:val="0"/>
          <w:divBdr>
            <w:top w:val="none" w:sz="0" w:space="0" w:color="auto"/>
            <w:left w:val="none" w:sz="0" w:space="0" w:color="auto"/>
            <w:bottom w:val="none" w:sz="0" w:space="0" w:color="auto"/>
            <w:right w:val="none" w:sz="0" w:space="0" w:color="auto"/>
          </w:divBdr>
        </w:div>
        <w:div w:id="1249078107">
          <w:marLeft w:val="0"/>
          <w:marRight w:val="0"/>
          <w:marTop w:val="0"/>
          <w:marBottom w:val="0"/>
          <w:divBdr>
            <w:top w:val="none" w:sz="0" w:space="0" w:color="auto"/>
            <w:left w:val="none" w:sz="0" w:space="0" w:color="auto"/>
            <w:bottom w:val="none" w:sz="0" w:space="0" w:color="auto"/>
            <w:right w:val="none" w:sz="0" w:space="0" w:color="auto"/>
          </w:divBdr>
        </w:div>
        <w:div w:id="407927170">
          <w:marLeft w:val="0"/>
          <w:marRight w:val="0"/>
          <w:marTop w:val="0"/>
          <w:marBottom w:val="0"/>
          <w:divBdr>
            <w:top w:val="none" w:sz="0" w:space="0" w:color="auto"/>
            <w:left w:val="none" w:sz="0" w:space="0" w:color="auto"/>
            <w:bottom w:val="none" w:sz="0" w:space="0" w:color="auto"/>
            <w:right w:val="none" w:sz="0" w:space="0" w:color="auto"/>
          </w:divBdr>
        </w:div>
        <w:div w:id="767240102">
          <w:marLeft w:val="0"/>
          <w:marRight w:val="0"/>
          <w:marTop w:val="0"/>
          <w:marBottom w:val="0"/>
          <w:divBdr>
            <w:top w:val="none" w:sz="0" w:space="0" w:color="auto"/>
            <w:left w:val="none" w:sz="0" w:space="0" w:color="auto"/>
            <w:bottom w:val="none" w:sz="0" w:space="0" w:color="auto"/>
            <w:right w:val="none" w:sz="0" w:space="0" w:color="auto"/>
          </w:divBdr>
        </w:div>
        <w:div w:id="260800375">
          <w:marLeft w:val="0"/>
          <w:marRight w:val="0"/>
          <w:marTop w:val="0"/>
          <w:marBottom w:val="0"/>
          <w:divBdr>
            <w:top w:val="none" w:sz="0" w:space="0" w:color="auto"/>
            <w:left w:val="none" w:sz="0" w:space="0" w:color="auto"/>
            <w:bottom w:val="none" w:sz="0" w:space="0" w:color="auto"/>
            <w:right w:val="none" w:sz="0" w:space="0" w:color="auto"/>
          </w:divBdr>
        </w:div>
        <w:div w:id="805776328">
          <w:marLeft w:val="0"/>
          <w:marRight w:val="0"/>
          <w:marTop w:val="0"/>
          <w:marBottom w:val="0"/>
          <w:divBdr>
            <w:top w:val="none" w:sz="0" w:space="0" w:color="auto"/>
            <w:left w:val="none" w:sz="0" w:space="0" w:color="auto"/>
            <w:bottom w:val="none" w:sz="0" w:space="0" w:color="auto"/>
            <w:right w:val="none" w:sz="0" w:space="0" w:color="auto"/>
          </w:divBdr>
        </w:div>
        <w:div w:id="516121292">
          <w:marLeft w:val="0"/>
          <w:marRight w:val="0"/>
          <w:marTop w:val="0"/>
          <w:marBottom w:val="0"/>
          <w:divBdr>
            <w:top w:val="none" w:sz="0" w:space="0" w:color="auto"/>
            <w:left w:val="none" w:sz="0" w:space="0" w:color="auto"/>
            <w:bottom w:val="none" w:sz="0" w:space="0" w:color="auto"/>
            <w:right w:val="none" w:sz="0" w:space="0" w:color="auto"/>
          </w:divBdr>
        </w:div>
        <w:div w:id="108417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services-procurement/news/2023/04/statement-public-service-labour-disruptions-and-pay.html" TargetMode="External"/><Relationship Id="rId3" Type="http://schemas.openxmlformats.org/officeDocument/2006/relationships/webSettings" Target="webSettings.xml"/><Relationship Id="rId7" Type="http://schemas.openxmlformats.org/officeDocument/2006/relationships/hyperlink" Target="https://en.wikipedia.org/wiki/2023_Canadian_federal_worker_strik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onto.citynews.ca/2023/05/01/psac-says-tentative-agreement-reached-with-treasury-board-for-120000-worke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oronto.citynews.ca/2023/04/20/federal-workers-strike-psac-taxes-pas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2827</TotalTime>
  <Pages>5</Pages>
  <Words>1181</Words>
  <Characters>7817</Characters>
  <Application>Microsoft Office Word</Application>
  <DocSecurity>0</DocSecurity>
  <Lines>116</Lines>
  <Paragraphs>14</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Taylor</dc:creator>
  <cp:keywords/>
  <dc:description/>
  <cp:lastModifiedBy>Ethan Taylor</cp:lastModifiedBy>
  <cp:revision>116</cp:revision>
  <dcterms:created xsi:type="dcterms:W3CDTF">2024-09-09T20:52:00Z</dcterms:created>
  <dcterms:modified xsi:type="dcterms:W3CDTF">2024-09-11T20:02:00Z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78a24183c29fe7c14cb768eca030077fd8529b51f12735aaa83f916f97e80bac</vt:lpwstr>
  </property>
</Properties>
</file>